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E" w:rsidRPr="00845C1E" w:rsidRDefault="00845C1E" w:rsidP="009151D7">
      <w:pPr>
        <w:pStyle w:val="Heading1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CTTAB 2014 Committees</w:t>
      </w:r>
    </w:p>
    <w:p w:rsidR="00D47FC5" w:rsidRPr="00D47FC5" w:rsidRDefault="00D47FC5" w:rsidP="009151D7">
      <w:pPr>
        <w:pStyle w:val="Heading1"/>
        <w:rPr>
          <w:rFonts w:asciiTheme="minorHAnsi" w:hAnsiTheme="minorHAnsi"/>
          <w:b w:val="0"/>
          <w:i/>
          <w:sz w:val="28"/>
          <w:szCs w:val="28"/>
        </w:rPr>
      </w:pPr>
      <w:r w:rsidRPr="00D47FC5">
        <w:rPr>
          <w:rFonts w:asciiTheme="minorHAnsi" w:hAnsiTheme="minorHAnsi"/>
          <w:b w:val="0"/>
          <w:i/>
          <w:sz w:val="28"/>
          <w:szCs w:val="28"/>
        </w:rPr>
        <w:t>Standing Committees:</w:t>
      </w:r>
    </w:p>
    <w:p w:rsidR="00766B2E" w:rsidRPr="00D47FC5" w:rsidRDefault="00766B2E" w:rsidP="009151D7">
      <w:pPr>
        <w:pStyle w:val="Heading1"/>
        <w:rPr>
          <w:rFonts w:asciiTheme="minorHAnsi" w:hAnsiTheme="minorHAnsi"/>
          <w:i/>
          <w:sz w:val="28"/>
          <w:szCs w:val="28"/>
          <w:u w:val="single"/>
        </w:rPr>
      </w:pPr>
      <w:r w:rsidRPr="00766B2E">
        <w:rPr>
          <w:rFonts w:asciiTheme="minorHAnsi" w:hAnsiTheme="minorHAnsi"/>
          <w:sz w:val="28"/>
          <w:szCs w:val="28"/>
          <w:u w:val="single"/>
        </w:rPr>
        <w:t xml:space="preserve">Broadband &amp; Cable Committee </w:t>
      </w:r>
    </w:p>
    <w:p w:rsidR="00042857" w:rsidRPr="00766B2E" w:rsidRDefault="00766B2E" w:rsidP="00766B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66B2E">
        <w:rPr>
          <w:rFonts w:eastAsia="Times New Roman" w:cs="Times New Roman"/>
          <w:sz w:val="24"/>
          <w:szCs w:val="24"/>
        </w:rPr>
        <w:t>The Broadband and Cable Committee of Seattle's technology advisory board works on broadband developmen</w:t>
      </w:r>
      <w:r w:rsidR="007805AF" w:rsidRPr="00042857">
        <w:rPr>
          <w:rFonts w:eastAsia="Times New Roman" w:cs="Times New Roman"/>
          <w:sz w:val="24"/>
          <w:szCs w:val="24"/>
        </w:rPr>
        <w:t>t, including fiber deployment, </w:t>
      </w:r>
      <w:r w:rsidRPr="00766B2E">
        <w:rPr>
          <w:rFonts w:eastAsia="Times New Roman" w:cs="Times New Roman"/>
          <w:sz w:val="24"/>
          <w:szCs w:val="24"/>
        </w:rPr>
        <w:t>and Seattle's pursuit of fiber to the premise (FTTP). We also work on cable franchising and related issues.</w:t>
      </w:r>
      <w:r w:rsidRPr="00766B2E">
        <w:rPr>
          <w:rFonts w:eastAsia="Times New Roman" w:cs="Times New Roman"/>
          <w:sz w:val="24"/>
          <w:szCs w:val="24"/>
        </w:rPr>
        <w:br/>
      </w:r>
      <w:r w:rsidRPr="00042857">
        <w:rPr>
          <w:rFonts w:eastAsia="Times New Roman" w:cs="Times New Roman"/>
          <w:b/>
          <w:bCs/>
          <w:sz w:val="24"/>
          <w:szCs w:val="24"/>
        </w:rPr>
        <w:t xml:space="preserve">Meets: </w:t>
      </w:r>
      <w:r w:rsidRPr="00766B2E">
        <w:rPr>
          <w:rFonts w:eastAsia="Times New Roman" w:cs="Times New Roman"/>
          <w:sz w:val="24"/>
          <w:szCs w:val="24"/>
        </w:rPr>
        <w:t>Last Monday of each Month, 6:30 - 8:30 p.m., O'Asian Restaurant</w:t>
      </w:r>
      <w:proofErr w:type="gramStart"/>
      <w:r w:rsidRPr="00766B2E">
        <w:rPr>
          <w:rFonts w:eastAsia="Times New Roman" w:cs="Times New Roman"/>
          <w:sz w:val="24"/>
          <w:szCs w:val="24"/>
        </w:rPr>
        <w:t>  (</w:t>
      </w:r>
      <w:proofErr w:type="gramEnd"/>
      <w:r w:rsidRPr="00766B2E">
        <w:rPr>
          <w:rFonts w:eastAsia="Times New Roman" w:cs="Times New Roman"/>
          <w:sz w:val="24"/>
          <w:szCs w:val="24"/>
        </w:rPr>
        <w:t>with free parking available there!)</w:t>
      </w:r>
      <w:r w:rsidRPr="00766B2E">
        <w:rPr>
          <w:rFonts w:eastAsia="Times New Roman" w:cs="Times New Roman"/>
          <w:sz w:val="24"/>
          <w:szCs w:val="24"/>
        </w:rPr>
        <w:br/>
      </w:r>
      <w:r w:rsidRPr="00042857">
        <w:rPr>
          <w:rFonts w:eastAsia="Times New Roman" w:cs="Times New Roman"/>
          <w:b/>
          <w:bCs/>
          <w:sz w:val="24"/>
          <w:szCs w:val="24"/>
        </w:rPr>
        <w:t xml:space="preserve">Chair: </w:t>
      </w:r>
      <w:r w:rsidRPr="00766B2E">
        <w:rPr>
          <w:rFonts w:eastAsia="Times New Roman" w:cs="Times New Roman"/>
          <w:sz w:val="24"/>
          <w:szCs w:val="24"/>
        </w:rPr>
        <w:t>Brian Hsi, Vice-Chair: Daniel Hoang</w:t>
      </w:r>
      <w:r w:rsidRPr="00766B2E">
        <w:rPr>
          <w:rFonts w:eastAsia="Times New Roman" w:cs="Times New Roman"/>
          <w:sz w:val="24"/>
          <w:szCs w:val="24"/>
        </w:rPr>
        <w:br/>
      </w:r>
      <w:r w:rsidRPr="00042857">
        <w:rPr>
          <w:rFonts w:eastAsia="Times New Roman" w:cs="Times New Roman"/>
          <w:b/>
          <w:bCs/>
          <w:sz w:val="24"/>
          <w:szCs w:val="24"/>
        </w:rPr>
        <w:t>Staff:</w:t>
      </w:r>
      <w:r w:rsidRPr="00766B2E">
        <w:rPr>
          <w:rFonts w:eastAsia="Times New Roman" w:cs="Times New Roman"/>
          <w:sz w:val="24"/>
          <w:szCs w:val="24"/>
        </w:rPr>
        <w:t xml:space="preserve"> Tony Perez</w:t>
      </w:r>
      <w:r w:rsidR="00042857" w:rsidRPr="00042857">
        <w:rPr>
          <w:rFonts w:eastAsia="Times New Roman" w:cs="Times New Roman"/>
          <w:sz w:val="24"/>
          <w:szCs w:val="24"/>
        </w:rPr>
        <w:br/>
      </w:r>
      <w:r w:rsidR="00042857" w:rsidRPr="00042857">
        <w:rPr>
          <w:rFonts w:eastAsia="Times New Roman" w:cs="Times New Roman"/>
          <w:b/>
          <w:sz w:val="24"/>
          <w:szCs w:val="24"/>
        </w:rPr>
        <w:t xml:space="preserve">Key Action Items for 2014: </w:t>
      </w:r>
      <w:r w:rsidR="00042857">
        <w:rPr>
          <w:rFonts w:eastAsia="Times New Roman" w:cs="Times New Roman"/>
          <w:sz w:val="24"/>
          <w:szCs w:val="24"/>
        </w:rPr>
        <w:t xml:space="preserve">1) Assist in Comcast cable refranchising community needs assessment; </w:t>
      </w:r>
    </w:p>
    <w:p w:rsidR="00042857" w:rsidRPr="00042857" w:rsidRDefault="00042857" w:rsidP="00042857">
      <w:pPr>
        <w:pStyle w:val="Heading3"/>
        <w:rPr>
          <w:rFonts w:asciiTheme="minorHAnsi" w:eastAsia="Times New Roman" w:hAnsiTheme="minorHAnsi" w:cs="Times New Roman"/>
          <w:b w:val="0"/>
          <w:bCs w:val="0"/>
          <w:color w:val="auto"/>
          <w:kern w:val="36"/>
          <w:sz w:val="28"/>
          <w:szCs w:val="28"/>
          <w:u w:val="single"/>
        </w:rPr>
      </w:pPr>
      <w:r w:rsidRPr="00042857">
        <w:rPr>
          <w:rFonts w:asciiTheme="minorHAnsi" w:eastAsia="Times New Roman" w:hAnsiTheme="minorHAnsi" w:cs="Times New Roman"/>
          <w:color w:val="auto"/>
          <w:kern w:val="36"/>
          <w:sz w:val="28"/>
          <w:szCs w:val="28"/>
          <w:u w:val="single"/>
        </w:rPr>
        <w:t>Public Engagement Committee</w:t>
      </w:r>
      <w:r w:rsidRPr="00042857">
        <w:rPr>
          <w:rFonts w:asciiTheme="minorHAnsi" w:eastAsia="Times New Roman" w:hAnsiTheme="minorHAnsi" w:cs="Times New Roman"/>
          <w:b w:val="0"/>
          <w:bCs w:val="0"/>
          <w:color w:val="auto"/>
          <w:kern w:val="36"/>
          <w:sz w:val="28"/>
          <w:szCs w:val="28"/>
          <w:u w:val="single"/>
        </w:rPr>
        <w:t xml:space="preserve"> </w:t>
      </w:r>
    </w:p>
    <w:p w:rsidR="00042857" w:rsidRPr="00042857" w:rsidRDefault="00042857" w:rsidP="00042857">
      <w:pPr>
        <w:pStyle w:val="NormalWeb"/>
        <w:rPr>
          <w:rFonts w:asciiTheme="minorHAnsi" w:hAnsiTheme="minorHAnsi"/>
        </w:rPr>
      </w:pPr>
      <w:proofErr w:type="gramStart"/>
      <w:r w:rsidRPr="00042857">
        <w:rPr>
          <w:rFonts w:asciiTheme="minorHAnsi" w:hAnsiTheme="minorHAnsi"/>
        </w:rPr>
        <w:t>To help improve effective use of online tools for City public engagement and to improve CTTAB communications with the public.</w:t>
      </w:r>
      <w:proofErr w:type="gramEnd"/>
      <w:r w:rsidRPr="00042857">
        <w:rPr>
          <w:rFonts w:asciiTheme="minorHAnsi" w:hAnsiTheme="minorHAnsi"/>
        </w:rPr>
        <w:t xml:space="preserve"> Advise the Puget </w:t>
      </w:r>
      <w:proofErr w:type="spellStart"/>
      <w:r w:rsidRPr="00042857">
        <w:rPr>
          <w:rFonts w:asciiTheme="minorHAnsi" w:hAnsiTheme="minorHAnsi"/>
        </w:rPr>
        <w:t>SoundOff</w:t>
      </w:r>
      <w:proofErr w:type="spellEnd"/>
      <w:r w:rsidRPr="00042857">
        <w:rPr>
          <w:rFonts w:asciiTheme="minorHAnsi" w:hAnsiTheme="minorHAnsi"/>
        </w:rPr>
        <w:t xml:space="preserve"> y</w:t>
      </w:r>
      <w:r w:rsidR="00336D28">
        <w:rPr>
          <w:rFonts w:asciiTheme="minorHAnsi" w:hAnsiTheme="minorHAnsi"/>
        </w:rPr>
        <w:t xml:space="preserve">outh civic engagement project. </w:t>
      </w:r>
      <w:r w:rsidRPr="00042857">
        <w:rPr>
          <w:rFonts w:asciiTheme="minorHAnsi" w:hAnsiTheme="minorHAnsi"/>
        </w:rPr>
        <w:br/>
      </w:r>
      <w:r w:rsidRPr="00042857">
        <w:rPr>
          <w:rStyle w:val="Strong"/>
          <w:rFonts w:asciiTheme="minorHAnsi" w:hAnsiTheme="minorHAnsi"/>
        </w:rPr>
        <w:t xml:space="preserve">Leads: </w:t>
      </w:r>
      <w:r w:rsidR="00C16677">
        <w:rPr>
          <w:rFonts w:asciiTheme="minorHAnsi" w:hAnsiTheme="minorHAnsi"/>
        </w:rPr>
        <w:t>Phillip Duggan</w:t>
      </w:r>
      <w:r w:rsidR="00D47FC5">
        <w:rPr>
          <w:rFonts w:asciiTheme="minorHAnsi" w:hAnsiTheme="minorHAnsi"/>
        </w:rPr>
        <w:t xml:space="preserve">, Vice-Chair: </w:t>
      </w:r>
      <w:proofErr w:type="spellStart"/>
      <w:r w:rsidR="00D47FC5">
        <w:rPr>
          <w:rFonts w:asciiTheme="minorHAnsi" w:hAnsiTheme="minorHAnsi"/>
        </w:rPr>
        <w:t>Nourisha</w:t>
      </w:r>
      <w:proofErr w:type="spellEnd"/>
      <w:r w:rsidR="00D47FC5">
        <w:rPr>
          <w:rFonts w:asciiTheme="minorHAnsi" w:hAnsiTheme="minorHAnsi"/>
        </w:rPr>
        <w:t xml:space="preserve"> Wells</w:t>
      </w:r>
      <w:r w:rsidRPr="00042857">
        <w:rPr>
          <w:rFonts w:asciiTheme="minorHAnsi" w:hAnsiTheme="minorHAnsi"/>
        </w:rPr>
        <w:br/>
      </w:r>
      <w:r w:rsidRPr="00042857">
        <w:rPr>
          <w:rFonts w:asciiTheme="minorHAnsi" w:hAnsiTheme="minorHAnsi"/>
          <w:b/>
        </w:rPr>
        <w:t xml:space="preserve">Meets: </w:t>
      </w:r>
      <w:r>
        <w:rPr>
          <w:rFonts w:asciiTheme="minorHAnsi" w:hAnsiTheme="minorHAnsi"/>
          <w:b/>
        </w:rPr>
        <w:br/>
      </w:r>
      <w:r w:rsidRPr="00042857">
        <w:rPr>
          <w:rStyle w:val="Strong"/>
          <w:rFonts w:asciiTheme="minorHAnsi" w:hAnsiTheme="minorHAnsi"/>
        </w:rPr>
        <w:t>Key Action Items for 2014:</w:t>
      </w:r>
      <w:r>
        <w:rPr>
          <w:rStyle w:val="Strong"/>
          <w:rFonts w:asciiTheme="minorHAnsi" w:hAnsiTheme="minorHAnsi"/>
        </w:rPr>
        <w:t xml:space="preserve"> </w:t>
      </w:r>
      <w:r w:rsidR="00E234AA">
        <w:rPr>
          <w:rStyle w:val="Strong"/>
          <w:rFonts w:asciiTheme="minorHAnsi" w:hAnsiTheme="minorHAnsi"/>
        </w:rPr>
        <w:t xml:space="preserve"> </w:t>
      </w:r>
      <w:r w:rsidR="00E234AA" w:rsidRPr="00E234AA">
        <w:rPr>
          <w:rStyle w:val="Strong"/>
          <w:rFonts w:asciiTheme="minorHAnsi" w:hAnsiTheme="minorHAnsi"/>
          <w:b w:val="0"/>
        </w:rPr>
        <w:t>1)</w:t>
      </w:r>
      <w:r w:rsidR="00E234AA">
        <w:rPr>
          <w:rStyle w:val="Strong"/>
          <w:rFonts w:asciiTheme="minorHAnsi" w:hAnsiTheme="minorHAnsi"/>
        </w:rPr>
        <w:t xml:space="preserve"> </w:t>
      </w:r>
      <w:r>
        <w:rPr>
          <w:rStyle w:val="Strong"/>
          <w:rFonts w:asciiTheme="minorHAnsi" w:hAnsiTheme="minorHAnsi"/>
          <w:b w:val="0"/>
        </w:rPr>
        <w:t>Hold 2 public education/engagement forums, the first on the Tech Access &amp; Adoption Report</w:t>
      </w:r>
      <w:r w:rsidR="00E234AA">
        <w:rPr>
          <w:rStyle w:val="Strong"/>
          <w:rFonts w:asciiTheme="minorHAnsi" w:hAnsiTheme="minorHAnsi"/>
          <w:b w:val="0"/>
        </w:rPr>
        <w:t>; 2) Pilot use of Lync for remote participation in CTTAB meetings.</w:t>
      </w:r>
    </w:p>
    <w:p w:rsidR="00042857" w:rsidRPr="00042857" w:rsidRDefault="00042857" w:rsidP="00042857"/>
    <w:p w:rsidR="00766B2E" w:rsidRPr="00042857" w:rsidRDefault="00766B2E" w:rsidP="00766B2E">
      <w:pPr>
        <w:pStyle w:val="Heading1"/>
        <w:rPr>
          <w:rFonts w:asciiTheme="minorHAnsi" w:hAnsiTheme="minorHAnsi"/>
          <w:b w:val="0"/>
          <w:bCs w:val="0"/>
          <w:kern w:val="0"/>
          <w:sz w:val="28"/>
          <w:szCs w:val="28"/>
          <w:u w:val="single"/>
        </w:rPr>
      </w:pPr>
      <w:r w:rsidRPr="00042857">
        <w:rPr>
          <w:rFonts w:asciiTheme="minorHAnsi" w:hAnsiTheme="minorHAnsi"/>
          <w:sz w:val="28"/>
          <w:szCs w:val="28"/>
          <w:u w:val="single"/>
        </w:rPr>
        <w:t>Get Online and Technology Matching Fund (Digital Inclusion)</w:t>
      </w:r>
      <w:r w:rsidR="009151D7" w:rsidRPr="00042857">
        <w:rPr>
          <w:rFonts w:asciiTheme="minorHAnsi" w:hAnsiTheme="minorHAnsi"/>
          <w:sz w:val="28"/>
          <w:szCs w:val="28"/>
          <w:u w:val="single"/>
        </w:rPr>
        <w:t xml:space="preserve"> Committees</w:t>
      </w:r>
      <w:r w:rsidRPr="00042857">
        <w:rPr>
          <w:rFonts w:asciiTheme="minorHAnsi" w:hAnsiTheme="minorHAnsi"/>
          <w:b w:val="0"/>
          <w:bCs w:val="0"/>
          <w:kern w:val="0"/>
          <w:sz w:val="28"/>
          <w:szCs w:val="28"/>
          <w:u w:val="single"/>
        </w:rPr>
        <w:t xml:space="preserve"> </w:t>
      </w:r>
    </w:p>
    <w:p w:rsidR="00766B2E" w:rsidRPr="00042857" w:rsidRDefault="00766B2E" w:rsidP="00766B2E">
      <w:pPr>
        <w:pStyle w:val="NormalWeb"/>
        <w:rPr>
          <w:rFonts w:asciiTheme="minorHAnsi" w:hAnsiTheme="minorHAnsi"/>
        </w:rPr>
      </w:pPr>
      <w:r w:rsidRPr="00042857">
        <w:rPr>
          <w:rFonts w:asciiTheme="minorHAnsi" w:hAnsiTheme="minorHAnsi"/>
        </w:rPr>
        <w:t xml:space="preserve">Generally, these two committees support closing the digital divide / broadband adoption programs and work most with the Department of Information Technology's </w:t>
      </w:r>
      <w:hyperlink r:id="rId6" w:history="1">
        <w:r w:rsidRPr="00042857">
          <w:rPr>
            <w:rStyle w:val="Hyperlink"/>
            <w:rFonts w:asciiTheme="minorHAnsi" w:hAnsiTheme="minorHAnsi"/>
          </w:rPr>
          <w:t>Community Technology Program</w:t>
        </w:r>
      </w:hyperlink>
      <w:r w:rsidRPr="00042857">
        <w:rPr>
          <w:rFonts w:asciiTheme="minorHAnsi" w:hAnsiTheme="minorHAnsi"/>
        </w:rPr>
        <w:t xml:space="preserve"> staff.</w:t>
      </w:r>
    </w:p>
    <w:p w:rsidR="00766B2E" w:rsidRPr="00042857" w:rsidRDefault="00766B2E" w:rsidP="00766B2E">
      <w:pPr>
        <w:pStyle w:val="NormalWeb"/>
        <w:rPr>
          <w:rFonts w:asciiTheme="minorHAnsi" w:hAnsiTheme="minorHAnsi"/>
        </w:rPr>
      </w:pPr>
      <w:r w:rsidRPr="00042857">
        <w:rPr>
          <w:rStyle w:val="Strong"/>
          <w:rFonts w:asciiTheme="minorHAnsi" w:eastAsiaTheme="majorEastAsia" w:hAnsiTheme="minorHAnsi"/>
          <w:u w:val="single"/>
        </w:rPr>
        <w:t>Get Online Committee</w:t>
      </w:r>
      <w:r w:rsidRPr="00042857">
        <w:rPr>
          <w:rStyle w:val="Strong"/>
          <w:rFonts w:asciiTheme="minorHAnsi" w:eastAsiaTheme="majorEastAsia" w:hAnsiTheme="minorHAnsi"/>
        </w:rPr>
        <w:t xml:space="preserve">: </w:t>
      </w:r>
      <w:r w:rsidRPr="00042857">
        <w:rPr>
          <w:rFonts w:asciiTheme="minorHAnsi" w:hAnsiTheme="minorHAnsi"/>
        </w:rPr>
        <w:t xml:space="preserve">Guides and helps implement the Get Online broadband essential applications and awareness campaign, including options for low-income and disadvantaged residents. </w:t>
      </w:r>
      <w:hyperlink r:id="rId7" w:tgtFrame="_blank" w:history="1">
        <w:r w:rsidRPr="00042857">
          <w:rPr>
            <w:rStyle w:val="Hyperlink"/>
            <w:rFonts w:asciiTheme="minorHAnsi" w:hAnsiTheme="minorHAnsi"/>
          </w:rPr>
          <w:t>See more on the program</w:t>
        </w:r>
      </w:hyperlink>
      <w:r w:rsidRPr="00042857">
        <w:rPr>
          <w:rFonts w:asciiTheme="minorHAnsi" w:hAnsiTheme="minorHAnsi"/>
        </w:rPr>
        <w:t>.</w:t>
      </w:r>
      <w:r w:rsidRPr="00042857">
        <w:rPr>
          <w:rFonts w:asciiTheme="minorHAnsi" w:hAnsiTheme="minorHAnsi"/>
        </w:rPr>
        <w:br/>
      </w:r>
      <w:r w:rsidR="00D47FC5">
        <w:rPr>
          <w:rFonts w:asciiTheme="minorHAnsi" w:hAnsiTheme="minorHAnsi"/>
          <w:b/>
        </w:rPr>
        <w:t xml:space="preserve">Chair: </w:t>
      </w:r>
      <w:r w:rsidR="00D47FC5" w:rsidRPr="00E015C9">
        <w:rPr>
          <w:rFonts w:asciiTheme="minorHAnsi" w:hAnsiTheme="minorHAnsi"/>
        </w:rPr>
        <w:t xml:space="preserve">Stacey </w:t>
      </w:r>
      <w:proofErr w:type="spellStart"/>
      <w:r w:rsidR="00D47FC5" w:rsidRPr="00E015C9">
        <w:rPr>
          <w:rFonts w:asciiTheme="minorHAnsi" w:hAnsiTheme="minorHAnsi"/>
        </w:rPr>
        <w:t>Wedlake</w:t>
      </w:r>
      <w:proofErr w:type="spellEnd"/>
      <w:r w:rsidR="00BF5E2F">
        <w:rPr>
          <w:rFonts w:asciiTheme="minorHAnsi" w:hAnsiTheme="minorHAnsi"/>
        </w:rPr>
        <w:t xml:space="preserve"> </w:t>
      </w:r>
      <w:r w:rsidR="00BF5E2F">
        <w:rPr>
          <w:rFonts w:asciiTheme="minorHAnsi" w:hAnsiTheme="minorHAnsi"/>
        </w:rPr>
        <w:br/>
      </w:r>
      <w:r w:rsidR="00BF5E2F" w:rsidRPr="00BF5E2F">
        <w:rPr>
          <w:rFonts w:asciiTheme="minorHAnsi" w:hAnsiTheme="minorHAnsi"/>
          <w:b/>
        </w:rPr>
        <w:t>Committee Members</w:t>
      </w:r>
      <w:r w:rsidR="00BF5E2F">
        <w:rPr>
          <w:rStyle w:val="Strong"/>
        </w:rPr>
        <w:t xml:space="preserve">: </w:t>
      </w:r>
      <w:r w:rsidR="00BF5E2F" w:rsidRPr="00BF5E2F">
        <w:rPr>
          <w:rFonts w:asciiTheme="minorHAnsi" w:hAnsiTheme="minorHAnsi"/>
        </w:rPr>
        <w:t xml:space="preserve">Stacey </w:t>
      </w:r>
      <w:proofErr w:type="spellStart"/>
      <w:r w:rsidR="00BF5E2F" w:rsidRPr="00BF5E2F">
        <w:rPr>
          <w:rFonts w:asciiTheme="minorHAnsi" w:hAnsiTheme="minorHAnsi"/>
        </w:rPr>
        <w:t>Wedlake</w:t>
      </w:r>
      <w:proofErr w:type="spellEnd"/>
      <w:r w:rsidR="00BF5E2F" w:rsidRPr="00BF5E2F">
        <w:rPr>
          <w:rFonts w:asciiTheme="minorHAnsi" w:hAnsiTheme="minorHAnsi"/>
        </w:rPr>
        <w:t xml:space="preserve">, Phillip Duggan, </w:t>
      </w:r>
      <w:proofErr w:type="spellStart"/>
      <w:r w:rsidR="00BF5E2F" w:rsidRPr="00BF5E2F">
        <w:rPr>
          <w:rFonts w:asciiTheme="minorHAnsi" w:hAnsiTheme="minorHAnsi"/>
        </w:rPr>
        <w:t>Nourisha</w:t>
      </w:r>
      <w:proofErr w:type="spellEnd"/>
      <w:r w:rsidR="00BF5E2F" w:rsidRPr="00BF5E2F">
        <w:rPr>
          <w:rFonts w:asciiTheme="minorHAnsi" w:hAnsiTheme="minorHAnsi"/>
        </w:rPr>
        <w:t xml:space="preserve"> Wells, Ben Krokower (Staff: Vicky Yuki</w:t>
      </w:r>
      <w:proofErr w:type="gramStart"/>
      <w:r w:rsidR="00BF5E2F" w:rsidRPr="00BF5E2F">
        <w:rPr>
          <w:rFonts w:asciiTheme="minorHAnsi" w:hAnsiTheme="minorHAnsi"/>
        </w:rPr>
        <w:t>)</w:t>
      </w:r>
      <w:proofErr w:type="gramEnd"/>
      <w:r w:rsidR="00D47FC5" w:rsidRPr="00BF5E2F">
        <w:rPr>
          <w:rFonts w:asciiTheme="minorHAnsi" w:hAnsiTheme="minorHAnsi"/>
        </w:rPr>
        <w:br/>
      </w:r>
      <w:r w:rsidR="00042857" w:rsidRPr="00042857">
        <w:rPr>
          <w:rFonts w:asciiTheme="minorHAnsi" w:hAnsiTheme="minorHAnsi"/>
          <w:b/>
        </w:rPr>
        <w:t>Key Action Items for 2014:</w:t>
      </w:r>
      <w:r w:rsidR="00E015C9">
        <w:rPr>
          <w:rFonts w:asciiTheme="minorHAnsi" w:hAnsiTheme="minorHAnsi"/>
          <w:b/>
        </w:rPr>
        <w:t xml:space="preserve"> </w:t>
      </w:r>
      <w:r w:rsidR="00E015C9">
        <w:rPr>
          <w:rFonts w:asciiTheme="minorHAnsi" w:hAnsiTheme="minorHAnsi"/>
        </w:rPr>
        <w:t xml:space="preserve">Launch 2 education campaigns, Jobs in the spring, and Education in the fall. </w:t>
      </w:r>
      <w:r w:rsidR="00042857" w:rsidRPr="00042857">
        <w:rPr>
          <w:rFonts w:asciiTheme="minorHAnsi" w:hAnsiTheme="minorHAnsi"/>
        </w:rPr>
        <w:br/>
      </w:r>
    </w:p>
    <w:p w:rsidR="00766B2E" w:rsidRPr="00442A30" w:rsidRDefault="00766B2E" w:rsidP="00766B2E">
      <w:pPr>
        <w:pStyle w:val="NormalWeb"/>
        <w:rPr>
          <w:rFonts w:asciiTheme="minorHAnsi" w:hAnsiTheme="minorHAnsi"/>
        </w:rPr>
      </w:pPr>
      <w:r w:rsidRPr="00042857">
        <w:rPr>
          <w:rStyle w:val="Strong"/>
          <w:rFonts w:asciiTheme="minorHAnsi" w:eastAsiaTheme="majorEastAsia" w:hAnsiTheme="minorHAnsi"/>
        </w:rPr>
        <w:t xml:space="preserve">Technology Matching Fund </w:t>
      </w:r>
      <w:r w:rsidR="009151D7" w:rsidRPr="00042857">
        <w:rPr>
          <w:rStyle w:val="Strong"/>
          <w:rFonts w:asciiTheme="minorHAnsi" w:eastAsiaTheme="majorEastAsia" w:hAnsiTheme="minorHAnsi"/>
        </w:rPr>
        <w:t>Committee</w:t>
      </w:r>
      <w:r w:rsidRPr="00042857">
        <w:rPr>
          <w:rStyle w:val="Strong"/>
          <w:rFonts w:asciiTheme="minorHAnsi" w:eastAsiaTheme="majorEastAsia" w:hAnsiTheme="minorHAnsi"/>
        </w:rPr>
        <w:t xml:space="preserve">: </w:t>
      </w:r>
      <w:r w:rsidRPr="00042857">
        <w:rPr>
          <w:rFonts w:asciiTheme="minorHAnsi" w:hAnsiTheme="minorHAnsi"/>
        </w:rPr>
        <w:t xml:space="preserve">Provides guidance and recommendations on funding for the city grants provides grants of up to $20,000  to support community based technology literacy and access, and electronic civic engagement projects. </w:t>
      </w:r>
      <w:hyperlink r:id="rId8" w:tgtFrame="_blank" w:history="1">
        <w:r w:rsidRPr="00042857">
          <w:rPr>
            <w:rStyle w:val="Hyperlink"/>
            <w:rFonts w:asciiTheme="minorHAnsi" w:hAnsiTheme="minorHAnsi"/>
          </w:rPr>
          <w:t>See more on the program</w:t>
        </w:r>
      </w:hyperlink>
      <w:r w:rsidRPr="00042857">
        <w:rPr>
          <w:rFonts w:asciiTheme="minorHAnsi" w:hAnsiTheme="minorHAnsi"/>
        </w:rPr>
        <w:t>.</w:t>
      </w:r>
      <w:r w:rsidRPr="00042857">
        <w:rPr>
          <w:rFonts w:asciiTheme="minorHAnsi" w:hAnsiTheme="minorHAnsi"/>
        </w:rPr>
        <w:br/>
      </w:r>
      <w:r w:rsidR="00D47FC5">
        <w:rPr>
          <w:rStyle w:val="Strong"/>
          <w:rFonts w:asciiTheme="minorHAnsi" w:eastAsiaTheme="majorEastAsia" w:hAnsiTheme="minorHAnsi"/>
        </w:rPr>
        <w:t xml:space="preserve">Chair: </w:t>
      </w:r>
      <w:r w:rsidR="00D47FC5" w:rsidRPr="002D10EC">
        <w:rPr>
          <w:rStyle w:val="Strong"/>
          <w:rFonts w:asciiTheme="minorHAnsi" w:eastAsiaTheme="majorEastAsia" w:hAnsiTheme="minorHAnsi"/>
          <w:b w:val="0"/>
        </w:rPr>
        <w:t xml:space="preserve">Stacey </w:t>
      </w:r>
      <w:proofErr w:type="spellStart"/>
      <w:r w:rsidR="00D47FC5" w:rsidRPr="002D10EC">
        <w:rPr>
          <w:rStyle w:val="Strong"/>
          <w:rFonts w:asciiTheme="minorHAnsi" w:eastAsiaTheme="majorEastAsia" w:hAnsiTheme="minorHAnsi"/>
          <w:b w:val="0"/>
        </w:rPr>
        <w:t>Wedlake</w:t>
      </w:r>
      <w:proofErr w:type="spellEnd"/>
      <w:r w:rsidR="00042857" w:rsidRPr="00042857">
        <w:rPr>
          <w:rStyle w:val="Strong"/>
          <w:rFonts w:asciiTheme="minorHAnsi" w:eastAsiaTheme="majorEastAsia" w:hAnsiTheme="minorHAnsi"/>
        </w:rPr>
        <w:br/>
      </w:r>
      <w:r w:rsidRPr="00042857">
        <w:rPr>
          <w:rFonts w:asciiTheme="minorHAnsi" w:hAnsiTheme="minorHAnsi"/>
          <w:b/>
        </w:rPr>
        <w:t>Staff</w:t>
      </w:r>
      <w:r w:rsidRPr="00042857">
        <w:rPr>
          <w:rStyle w:val="Strong"/>
          <w:rFonts w:asciiTheme="minorHAnsi" w:eastAsiaTheme="majorEastAsia" w:hAnsiTheme="minorHAnsi"/>
        </w:rPr>
        <w:t xml:space="preserve">: </w:t>
      </w:r>
      <w:r w:rsidRPr="00042857">
        <w:rPr>
          <w:rFonts w:asciiTheme="minorHAnsi" w:hAnsiTheme="minorHAnsi"/>
        </w:rPr>
        <w:t>Delia Burke with</w:t>
      </w:r>
      <w:r w:rsidRPr="00401A9B">
        <w:rPr>
          <w:b/>
          <w:bCs/>
        </w:rPr>
        <w:t xml:space="preserve"> </w:t>
      </w:r>
      <w:r w:rsidRPr="00042857">
        <w:rPr>
          <w:rFonts w:asciiTheme="minorHAnsi" w:hAnsiTheme="minorHAnsi"/>
        </w:rPr>
        <w:t>Vicky Yuki and David Keyes</w:t>
      </w:r>
      <w:r w:rsidR="00042857" w:rsidRPr="00042857">
        <w:rPr>
          <w:rFonts w:asciiTheme="minorHAnsi" w:hAnsiTheme="minorHAnsi"/>
        </w:rPr>
        <w:br/>
      </w:r>
      <w:r w:rsidR="00042857" w:rsidRPr="00042857">
        <w:rPr>
          <w:rFonts w:asciiTheme="minorHAnsi" w:hAnsiTheme="minorHAnsi"/>
          <w:b/>
        </w:rPr>
        <w:t>Key Action Items for 2014:</w:t>
      </w:r>
      <w:r w:rsidR="00442A30">
        <w:rPr>
          <w:rFonts w:asciiTheme="minorHAnsi" w:hAnsiTheme="minorHAnsi"/>
          <w:b/>
        </w:rPr>
        <w:t xml:space="preserve">  </w:t>
      </w:r>
      <w:r w:rsidR="00442A30">
        <w:rPr>
          <w:rFonts w:asciiTheme="minorHAnsi" w:hAnsiTheme="minorHAnsi"/>
        </w:rPr>
        <w:t>1) Assist in community workshops; 2) Review applications &amp; make recommendations on funding; 3) Review and suggest changes for the 2015 cycle</w:t>
      </w:r>
    </w:p>
    <w:p w:rsidR="00D47FC5" w:rsidRDefault="00D47FC5" w:rsidP="009151D7">
      <w:pPr>
        <w:pStyle w:val="Heading1"/>
        <w:rPr>
          <w:rFonts w:asciiTheme="minorHAnsi" w:hAnsiTheme="minorHAnsi"/>
          <w:sz w:val="28"/>
          <w:szCs w:val="28"/>
          <w:u w:val="single"/>
        </w:rPr>
      </w:pPr>
    </w:p>
    <w:p w:rsidR="00EF6992" w:rsidRDefault="00EF6992" w:rsidP="009151D7">
      <w:pPr>
        <w:pStyle w:val="Heading1"/>
        <w:rPr>
          <w:rFonts w:asciiTheme="minorHAnsi" w:hAnsiTheme="minorHAnsi"/>
          <w:sz w:val="28"/>
          <w:szCs w:val="28"/>
          <w:u w:val="single"/>
        </w:rPr>
      </w:pPr>
    </w:p>
    <w:p w:rsidR="00D47FC5" w:rsidRPr="00D47FC5" w:rsidRDefault="00D47FC5" w:rsidP="009151D7">
      <w:pPr>
        <w:pStyle w:val="Heading1"/>
        <w:rPr>
          <w:rFonts w:asciiTheme="minorHAnsi" w:hAnsiTheme="minorHAnsi"/>
          <w:b w:val="0"/>
          <w:i/>
          <w:sz w:val="28"/>
          <w:szCs w:val="28"/>
        </w:rPr>
      </w:pPr>
      <w:r w:rsidRPr="00D47FC5">
        <w:rPr>
          <w:rFonts w:asciiTheme="minorHAnsi" w:hAnsiTheme="minorHAnsi"/>
          <w:b w:val="0"/>
          <w:i/>
          <w:sz w:val="28"/>
          <w:szCs w:val="28"/>
        </w:rPr>
        <w:t>Ad Hoc Committees</w:t>
      </w:r>
    </w:p>
    <w:p w:rsidR="00766B2E" w:rsidRPr="00042857" w:rsidRDefault="00766B2E" w:rsidP="009151D7">
      <w:pPr>
        <w:pStyle w:val="Heading1"/>
        <w:rPr>
          <w:rFonts w:asciiTheme="minorHAnsi" w:hAnsiTheme="minorHAnsi"/>
          <w:sz w:val="28"/>
          <w:szCs w:val="28"/>
          <w:u w:val="single"/>
        </w:rPr>
      </w:pPr>
      <w:bookmarkStart w:id="0" w:name="OLE_LINK1"/>
      <w:bookmarkStart w:id="1" w:name="OLE_LINK2"/>
      <w:r w:rsidRPr="00042857">
        <w:rPr>
          <w:rFonts w:asciiTheme="minorHAnsi" w:hAnsiTheme="minorHAnsi"/>
          <w:sz w:val="28"/>
          <w:szCs w:val="28"/>
          <w:u w:val="single"/>
        </w:rPr>
        <w:t>Privacy Committee</w:t>
      </w:r>
    </w:p>
    <w:p w:rsidR="00C16677" w:rsidRPr="00042857" w:rsidRDefault="00766B2E" w:rsidP="00C16677">
      <w:pPr>
        <w:pStyle w:val="NormalWeb"/>
        <w:rPr>
          <w:rFonts w:asciiTheme="minorHAnsi" w:hAnsiTheme="minorHAnsi"/>
        </w:rPr>
      </w:pPr>
      <w:r w:rsidRPr="00042857">
        <w:rPr>
          <w:rFonts w:asciiTheme="minorHAnsi" w:hAnsiTheme="minorHAnsi"/>
        </w:rPr>
        <w:t>The Privacy Committee makes recommendations on policies</w:t>
      </w:r>
      <w:r w:rsidR="00876F08">
        <w:rPr>
          <w:rFonts w:asciiTheme="minorHAnsi" w:hAnsiTheme="minorHAnsi"/>
        </w:rPr>
        <w:t>, programs,</w:t>
      </w:r>
      <w:r w:rsidRPr="00042857">
        <w:rPr>
          <w:rFonts w:asciiTheme="minorHAnsi" w:hAnsiTheme="minorHAnsi"/>
        </w:rPr>
        <w:t xml:space="preserve"> practices</w:t>
      </w:r>
      <w:r w:rsidR="00876F08">
        <w:rPr>
          <w:rFonts w:asciiTheme="minorHAnsi" w:hAnsiTheme="minorHAnsi"/>
        </w:rPr>
        <w:t xml:space="preserve"> and actions</w:t>
      </w:r>
      <w:r w:rsidRPr="00042857">
        <w:rPr>
          <w:rFonts w:asciiTheme="minorHAnsi" w:hAnsiTheme="minorHAnsi"/>
        </w:rPr>
        <w:t xml:space="preserve"> that</w:t>
      </w:r>
      <w:r w:rsidR="00876F08">
        <w:rPr>
          <w:rFonts w:asciiTheme="minorHAnsi" w:hAnsiTheme="minorHAnsi"/>
        </w:rPr>
        <w:t xml:space="preserve"> </w:t>
      </w:r>
      <w:r w:rsidRPr="00042857">
        <w:rPr>
          <w:rFonts w:asciiTheme="minorHAnsi" w:hAnsiTheme="minorHAnsi"/>
        </w:rPr>
        <w:t xml:space="preserve">impact </w:t>
      </w:r>
      <w:r w:rsidRPr="002F6030">
        <w:rPr>
          <w:rFonts w:asciiTheme="minorHAnsi" w:hAnsiTheme="minorHAnsi"/>
        </w:rPr>
        <w:t>resident</w:t>
      </w:r>
      <w:r w:rsidR="00C16677" w:rsidRPr="002F6030">
        <w:rPr>
          <w:rFonts w:asciiTheme="minorHAnsi" w:hAnsiTheme="minorHAnsi"/>
        </w:rPr>
        <w:t>s, workers, and small business.</w:t>
      </w:r>
    </w:p>
    <w:p w:rsidR="00C16677" w:rsidRPr="00FC4E8F" w:rsidRDefault="00766B2E" w:rsidP="00C16677">
      <w:pPr>
        <w:pStyle w:val="NormalWeb"/>
        <w:rPr>
          <w:rFonts w:asciiTheme="minorHAnsi" w:hAnsiTheme="minorHAnsi"/>
        </w:rPr>
      </w:pPr>
      <w:r w:rsidRPr="00042857">
        <w:rPr>
          <w:rStyle w:val="Strong"/>
          <w:rFonts w:asciiTheme="minorHAnsi" w:hAnsiTheme="minorHAnsi"/>
        </w:rPr>
        <w:t>Meets:</w:t>
      </w:r>
      <w:r w:rsidRPr="00042857">
        <w:rPr>
          <w:rFonts w:asciiTheme="minorHAnsi" w:hAnsiTheme="minorHAnsi"/>
        </w:rPr>
        <w:t> Not currently scheduled</w:t>
      </w:r>
      <w:r w:rsidRPr="00042857">
        <w:rPr>
          <w:rFonts w:asciiTheme="minorHAnsi" w:hAnsiTheme="minorHAnsi"/>
        </w:rPr>
        <w:br/>
      </w:r>
      <w:r w:rsidRPr="00042857">
        <w:rPr>
          <w:rStyle w:val="Strong"/>
          <w:rFonts w:asciiTheme="minorHAnsi" w:hAnsiTheme="minorHAnsi"/>
        </w:rPr>
        <w:t xml:space="preserve">Chair: </w:t>
      </w:r>
      <w:r w:rsidRPr="00042857">
        <w:rPr>
          <w:rFonts w:asciiTheme="minorHAnsi" w:hAnsiTheme="minorHAnsi"/>
        </w:rPr>
        <w:t>Beryl Fernandes</w:t>
      </w:r>
      <w:r w:rsidRPr="00042857">
        <w:rPr>
          <w:rFonts w:asciiTheme="minorHAnsi" w:hAnsiTheme="minorHAnsi"/>
        </w:rPr>
        <w:br/>
      </w:r>
      <w:r w:rsidRPr="00042857">
        <w:rPr>
          <w:rStyle w:val="Strong"/>
          <w:rFonts w:asciiTheme="minorHAnsi" w:hAnsiTheme="minorHAnsi"/>
        </w:rPr>
        <w:t>Staff:</w:t>
      </w:r>
      <w:r w:rsidRPr="00042857">
        <w:rPr>
          <w:rFonts w:asciiTheme="minorHAnsi" w:hAnsiTheme="minorHAnsi"/>
        </w:rPr>
        <w:t xml:space="preserve"> Unassigned</w:t>
      </w:r>
      <w:r w:rsidR="00042857" w:rsidRPr="00042857">
        <w:rPr>
          <w:rFonts w:asciiTheme="minorHAnsi" w:hAnsiTheme="minorHAnsi"/>
        </w:rPr>
        <w:br/>
      </w:r>
      <w:r w:rsidR="00C16677" w:rsidRPr="00042857">
        <w:rPr>
          <w:rFonts w:asciiTheme="minorHAnsi" w:hAnsiTheme="minorHAnsi"/>
          <w:b/>
        </w:rPr>
        <w:t>Key Action Items for 2014:</w:t>
      </w:r>
      <w:r w:rsidR="00C16677">
        <w:rPr>
          <w:rFonts w:asciiTheme="minorHAnsi" w:hAnsiTheme="minorHAnsi"/>
          <w:b/>
        </w:rPr>
        <w:t xml:space="preserve"> </w:t>
      </w:r>
      <w:r w:rsidR="00C16677" w:rsidRPr="002F6030">
        <w:rPr>
          <w:rFonts w:asciiTheme="minorHAnsi" w:hAnsiTheme="minorHAnsi"/>
        </w:rPr>
        <w:t>1) Comment on the Seattle Privacy Council proposal to City Council; 2) Help raise awareness and narrow the issue of privacy beginning with a Privacy Panel/ Symposium, a public education event; 3) Review of Seattle.gov web privacy policy</w:t>
      </w:r>
    </w:p>
    <w:p w:rsidR="00C16677" w:rsidRPr="00D506D8" w:rsidRDefault="00C16677" w:rsidP="002F2837">
      <w:pPr>
        <w:pStyle w:val="NormalWeb"/>
        <w:rPr>
          <w:rFonts w:asciiTheme="minorHAnsi" w:hAnsiTheme="minorHAnsi"/>
          <w:color w:val="FF0000"/>
        </w:rPr>
      </w:pPr>
    </w:p>
    <w:bookmarkEnd w:id="0"/>
    <w:bookmarkEnd w:id="1"/>
    <w:p w:rsidR="009151D7" w:rsidRPr="00042857" w:rsidRDefault="00BC564C" w:rsidP="009151D7">
      <w:pPr>
        <w:rPr>
          <w:rStyle w:val="Strong"/>
          <w:b w:val="0"/>
        </w:rPr>
      </w:pPr>
      <w:r w:rsidRPr="00042857">
        <w:rPr>
          <w:b/>
          <w:bCs/>
          <w:kern w:val="36"/>
          <w:sz w:val="28"/>
          <w:szCs w:val="28"/>
          <w:u w:val="single"/>
        </w:rPr>
        <w:t xml:space="preserve">IT </w:t>
      </w:r>
      <w:r w:rsidR="009151D7" w:rsidRPr="00042857">
        <w:rPr>
          <w:b/>
          <w:bCs/>
          <w:kern w:val="36"/>
          <w:sz w:val="28"/>
          <w:szCs w:val="28"/>
          <w:u w:val="single"/>
        </w:rPr>
        <w:t>Indicators Committee</w:t>
      </w:r>
      <w:r w:rsidRPr="00042857">
        <w:rPr>
          <w:b/>
          <w:bCs/>
          <w:kern w:val="36"/>
          <w:sz w:val="28"/>
          <w:szCs w:val="28"/>
          <w:u w:val="single"/>
        </w:rPr>
        <w:t xml:space="preserve"> (Tech Access &amp; Adoption Research</w:t>
      </w:r>
      <w:proofErr w:type="gramStart"/>
      <w:r w:rsidRPr="00042857">
        <w:rPr>
          <w:b/>
          <w:bCs/>
          <w:kern w:val="36"/>
          <w:sz w:val="28"/>
          <w:szCs w:val="28"/>
          <w:u w:val="single"/>
        </w:rPr>
        <w:t>)</w:t>
      </w:r>
      <w:proofErr w:type="gramEnd"/>
      <w:r w:rsidR="009151D7" w:rsidRPr="00042857">
        <w:rPr>
          <w:b/>
          <w:bCs/>
          <w:kern w:val="36"/>
          <w:sz w:val="28"/>
          <w:szCs w:val="28"/>
          <w:u w:val="single"/>
        </w:rPr>
        <w:br/>
      </w:r>
      <w:r w:rsidRPr="00042857">
        <w:rPr>
          <w:rStyle w:val="Strong"/>
          <w:b w:val="0"/>
        </w:rPr>
        <w:t xml:space="preserve">Provide guidance on the City’s community research on technology access and adoption. Assist in public education and dissemination of the results. </w:t>
      </w:r>
    </w:p>
    <w:p w:rsidR="002D10EC" w:rsidRDefault="009151D7" w:rsidP="00BC564C">
      <w:pPr>
        <w:spacing w:after="0" w:line="240" w:lineRule="auto"/>
      </w:pPr>
      <w:r w:rsidRPr="00042857">
        <w:rPr>
          <w:rStyle w:val="Strong"/>
        </w:rPr>
        <w:t>Meets:</w:t>
      </w:r>
      <w:r w:rsidRPr="00042857">
        <w:t> Not currently scheduled</w:t>
      </w:r>
      <w:bookmarkStart w:id="2" w:name="_GoBack"/>
      <w:bookmarkEnd w:id="2"/>
      <w:r w:rsidRPr="00042857">
        <w:br/>
      </w:r>
      <w:r w:rsidRPr="00042857">
        <w:rPr>
          <w:rStyle w:val="Strong"/>
        </w:rPr>
        <w:t xml:space="preserve">Chair: </w:t>
      </w:r>
      <w:r w:rsidRPr="00042857">
        <w:t xml:space="preserve">Brian Hsi </w:t>
      </w:r>
    </w:p>
    <w:p w:rsidR="009151D7" w:rsidRPr="00042857" w:rsidRDefault="002D10EC" w:rsidP="00BC564C">
      <w:pPr>
        <w:spacing w:after="0" w:line="240" w:lineRule="auto"/>
      </w:pPr>
      <w:r>
        <w:rPr>
          <w:b/>
        </w:rPr>
        <w:t xml:space="preserve">Staff: </w:t>
      </w:r>
      <w:r>
        <w:t>David Keyes</w:t>
      </w:r>
      <w:r w:rsidR="009151D7" w:rsidRPr="00042857">
        <w:br/>
      </w:r>
      <w:r w:rsidR="00042857" w:rsidRPr="00042857">
        <w:rPr>
          <w:rStyle w:val="Strong"/>
        </w:rPr>
        <w:t>Key Action Items for 2014:</w:t>
      </w:r>
      <w:r w:rsidR="00042857">
        <w:t xml:space="preserve"> 1) Provide input on final 2014 report; 2) Market the release of the report and assist in convening a public forum</w:t>
      </w:r>
      <w:r w:rsidR="00BC564C" w:rsidRPr="00042857">
        <w:br/>
      </w:r>
    </w:p>
    <w:p w:rsidR="001D6EFB" w:rsidRPr="00401A9B" w:rsidRDefault="001D6EFB" w:rsidP="001D6EFB">
      <w:pPr>
        <w:rPr>
          <w:b/>
          <w:bCs/>
          <w:u w:val="single"/>
        </w:rPr>
      </w:pPr>
      <w:r w:rsidRPr="00401A9B">
        <w:rPr>
          <w:b/>
          <w:bCs/>
          <w:u w:val="single"/>
        </w:rPr>
        <w:t>E-</w:t>
      </w:r>
      <w:proofErr w:type="spellStart"/>
      <w:r w:rsidRPr="00401A9B">
        <w:rPr>
          <w:b/>
          <w:bCs/>
          <w:u w:val="single"/>
        </w:rPr>
        <w:t>Gov</w:t>
      </w:r>
      <w:proofErr w:type="spellEnd"/>
      <w:r w:rsidRPr="00401A9B">
        <w:rPr>
          <w:b/>
          <w:bCs/>
          <w:u w:val="single"/>
        </w:rPr>
        <w:t xml:space="preserve"> Committee</w:t>
      </w:r>
    </w:p>
    <w:p w:rsidR="001D6EFB" w:rsidRPr="00401A9B" w:rsidRDefault="001D6EFB" w:rsidP="001D6EFB">
      <w:r w:rsidRPr="00401A9B">
        <w:t>The Electronic Government (E-</w:t>
      </w:r>
      <w:proofErr w:type="spellStart"/>
      <w:r w:rsidRPr="00401A9B">
        <w:t>Gov</w:t>
      </w:r>
      <w:proofErr w:type="spellEnd"/>
      <w:r w:rsidRPr="00401A9B">
        <w:t xml:space="preserve">) Committee advises the City and supports creative development of new datasets, applications, and tools which improve the city's capacity to provide information.  This may also </w:t>
      </w:r>
      <w:proofErr w:type="gramStart"/>
      <w:r w:rsidRPr="00401A9B">
        <w:t>including</w:t>
      </w:r>
      <w:proofErr w:type="gramEnd"/>
      <w:r w:rsidRPr="00401A9B">
        <w:t xml:space="preserve"> hacking events and other activities using city data and increasing government transparency.</w:t>
      </w:r>
      <w:r w:rsidRPr="00401A9B">
        <w:br/>
      </w:r>
      <w:r w:rsidRPr="00401A9B">
        <w:rPr>
          <w:b/>
          <w:bCs/>
        </w:rPr>
        <w:t>Meets:</w:t>
      </w:r>
      <w:r w:rsidRPr="00401A9B">
        <w:t xml:space="preserve"> Ad-hoc </w:t>
      </w:r>
      <w:r w:rsidRPr="00401A9B">
        <w:br/>
      </w:r>
      <w:r w:rsidRPr="00401A9B">
        <w:rPr>
          <w:b/>
          <w:bCs/>
        </w:rPr>
        <w:t xml:space="preserve">Chair: </w:t>
      </w:r>
      <w:r w:rsidRPr="00401A9B">
        <w:t>Rob Dolin</w:t>
      </w:r>
      <w:r w:rsidRPr="00401A9B">
        <w:br/>
      </w:r>
      <w:r w:rsidRPr="00401A9B">
        <w:rPr>
          <w:b/>
          <w:bCs/>
        </w:rPr>
        <w:t>Staff:</w:t>
      </w:r>
      <w:r w:rsidRPr="00401A9B">
        <w:t xml:space="preserve"> Bruce Blood</w:t>
      </w:r>
      <w:r w:rsidRPr="00401A9B">
        <w:br/>
      </w:r>
      <w:r w:rsidRPr="00401A9B">
        <w:rPr>
          <w:b/>
          <w:bCs/>
        </w:rPr>
        <w:t xml:space="preserve">Key Action Items and Explorations for 2014:  </w:t>
      </w:r>
      <w:r w:rsidRPr="00401A9B">
        <w:t>Open Data: enhancements, growing datasets, standardization; Customer interactions with government (issue reporting, ticketing, and tracking); crowdsourcing open data (ex: open broadband performance survey)</w:t>
      </w:r>
    </w:p>
    <w:p w:rsidR="00442A30" w:rsidRPr="00401A9B" w:rsidRDefault="00442A30">
      <w:pPr>
        <w:pStyle w:val="NormalWeb"/>
      </w:pPr>
    </w:p>
    <w:sectPr w:rsidR="00442A30" w:rsidRPr="00401A9B" w:rsidSect="00EF6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90A"/>
    <w:multiLevelType w:val="multilevel"/>
    <w:tmpl w:val="2B6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E"/>
    <w:rsid w:val="00042857"/>
    <w:rsid w:val="001D6EFB"/>
    <w:rsid w:val="00296E53"/>
    <w:rsid w:val="002D10EC"/>
    <w:rsid w:val="002F2837"/>
    <w:rsid w:val="002F6030"/>
    <w:rsid w:val="00336D28"/>
    <w:rsid w:val="00401A9B"/>
    <w:rsid w:val="00427DB3"/>
    <w:rsid w:val="00442A30"/>
    <w:rsid w:val="004B40D9"/>
    <w:rsid w:val="004D036B"/>
    <w:rsid w:val="005012A1"/>
    <w:rsid w:val="005312AE"/>
    <w:rsid w:val="00766B2E"/>
    <w:rsid w:val="007805AF"/>
    <w:rsid w:val="0078424D"/>
    <w:rsid w:val="00845C1E"/>
    <w:rsid w:val="00876F08"/>
    <w:rsid w:val="009151D7"/>
    <w:rsid w:val="00920F6D"/>
    <w:rsid w:val="00986C2F"/>
    <w:rsid w:val="009A0A01"/>
    <w:rsid w:val="00B02F17"/>
    <w:rsid w:val="00B54E02"/>
    <w:rsid w:val="00BA2E59"/>
    <w:rsid w:val="00BC564C"/>
    <w:rsid w:val="00BF5E2F"/>
    <w:rsid w:val="00C16677"/>
    <w:rsid w:val="00CA4534"/>
    <w:rsid w:val="00D47FC5"/>
    <w:rsid w:val="00D506D8"/>
    <w:rsid w:val="00D75919"/>
    <w:rsid w:val="00DA0188"/>
    <w:rsid w:val="00E015C9"/>
    <w:rsid w:val="00E234AA"/>
    <w:rsid w:val="00EF0EFE"/>
    <w:rsid w:val="00EF6992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6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6B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6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6B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community-technology/for-organizations/technology-matching-fu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attle.gov/community-technology/for-everyone/get-online-seat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tle.gov/te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CTTAB 2014 Committees</vt:lpstr>
      <vt:lpstr>Standing Committees:</vt:lpstr>
      <vt:lpstr>Broadband &amp; Cable Committee </vt:lpstr>
      <vt:lpstr>        Public Engagement Committee </vt:lpstr>
      <vt:lpstr>Get Online and Technology Matching Fund (Digital Inclusion) Committees </vt:lpstr>
      <vt:lpstr/>
      <vt:lpstr/>
      <vt:lpstr>Ad Hoc Committees</vt:lpstr>
      <vt:lpstr>Privacy Committee</vt:lpstr>
    </vt:vector>
  </TitlesOfParts>
  <Company>City of Seattle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Keyes, David</dc:creator>
  <cp:lastModifiedBy>Keyes, David</cp:lastModifiedBy>
  <cp:revision>2</cp:revision>
  <cp:lastPrinted>2014-07-08T23:22:00Z</cp:lastPrinted>
  <dcterms:created xsi:type="dcterms:W3CDTF">2014-09-04T20:56:00Z</dcterms:created>
  <dcterms:modified xsi:type="dcterms:W3CDTF">2014-09-04T20:56:00Z</dcterms:modified>
</cp:coreProperties>
</file>